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4" w:rsidRDefault="00F04A64" w:rsidP="00F04A64">
      <w:pPr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F04A64" w:rsidRPr="00F04A64" w:rsidRDefault="00F04A64" w:rsidP="00F04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4A64">
        <w:rPr>
          <w:rStyle w:val="Forte"/>
          <w:rFonts w:ascii="Times New Roman" w:hAnsi="Times New Roman" w:cs="Times New Roman"/>
          <w:color w:val="000000"/>
          <w:sz w:val="24"/>
          <w:szCs w:val="24"/>
        </w:rPr>
        <w:t>LISTA DE VERIFICAÇÃO DE ADESÃO A SISTEMA DE REGISTRO DE PREÇOS - “CARONA”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7905"/>
        <w:gridCol w:w="1275"/>
      </w:tblGrid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 S/N/ N.A.</w:t>
            </w: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1. Houve abertura de processo administrativo devidamente autuado e numerado, quando processo físico, ou registrado quando processo eletrônico, nos termos da ON-AGU nº 2/2009?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Obs.: Dispõe a ON-AGU 2/2009: “</w:t>
            </w:r>
            <w:r w:rsidRPr="00F04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</w:t>
            </w:r>
            <w:proofErr w:type="gramStart"/>
            <w:r w:rsidRPr="00F04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2. O edital utilizado para o registro de preços admite a adesão à ata?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3. Há demonstração da compatibilidade do objeto demandado com aquele discriminado na ata? (art. 3º, I da Lei nº 10.520/02, e art. 2º</w:t>
            </w:r>
            <w:r w:rsidRPr="00F04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caput</w:t>
            </w: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, e parágrafo único, VII, da Lei nº 9.784/99 e Acórdão nº 1823/2017 - Plenário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4. Há nos autos comprovação de que o preço registrado é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vantajoso em relação aos praticados no mercado onde serão adquiridos os bens e serviços, mediante pesquisa de preços que não se restrinja a consultas às empresas do ramo, feita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nos termos da IN SLTI/MP nº 5/2014 (Acórdão 8340/2018 - 2ª Câmara e nº 420/2018 - Plenário).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5. O serviço ou bem registrado na Ata, decorre de licitação realizada pelo Sistema de Registro de Preços - SRP,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. 1º, e 22, § 8º, do Decreto nº 7.892/13)?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6. Em se tratando de serviços de tecnologia da informação e comunicação, a ata de registro de preços é gerenciada pelo Ministério da Economia ou foi previamente aprovada por esse Ministério? (art. 22, §10, do Decreto nº 7.892/2013)?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6.1. Caso não tenha havido aprovação pelo Ministério da Economia, os serviços que serão contratados estão vinculados ao fornecimento de bens de tecnologia da informação e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comunicação constantes da mesma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ata (art. 22, §11, do Decreto 7892/2013)?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6.2. Foram encaminhados ao órgão gerenciador da ata de registro de preços os artefatos de planejamento previstos no </w:t>
            </w:r>
            <w:r w:rsidRPr="00F04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caput</w:t>
            </w: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 do art. 9º da IN SGD/ME nº 1, de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de abril de 2019 (art. 9º, §4º, da IN SGD/ME nº 1, 2019)?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A ata de registro de preços a que se pretende aderir se encontra válida e vigente? (art. 22, §6º, do Decreto nº 7.892/2013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8. Os itens a que se refere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adesão foram adjudicados por preço global de grupo de itens?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8.1. Caso positivo, foi atestado que a contratação é da totalidade dos itens de grupo, respeitadas as proporções de quantitativos definidos no certame ou é de item isolado para o qual o preço unitário adjudicado ao vencedor seja o menor preço válido ofertado para o mesmo item na fase de lances?</w:t>
            </w:r>
          </w:p>
          <w:p w:rsidR="00F04A64" w:rsidRPr="00F04A64" w:rsidRDefault="00F04A64" w:rsidP="00F04A6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Obs.: Atentar para a seguinte orientação da Secretaria de Gestão: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</w:t>
            </w:r>
            <w:proofErr w:type="spellStart"/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Sisg</w:t>
            </w:r>
            <w:proofErr w:type="spellEnd"/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que: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âmbito das licitações realizadas sob a modelagem de aquisição por preço global de grupo de itens, somente será admitida as seguintes hipóteses: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a) aquisição da totalidade dos itens de grupo, respeitadas as proporções de quantitativos definidos no certame; </w:t>
            </w:r>
            <w:proofErr w:type="gramStart"/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  <w:proofErr w:type="gramEnd"/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b) aquisição de item isolado para o qual o preço unitário adjudicado ao vencedor seja o menor preço válido ofertado para o mesmo item na fase de lances.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Constitui irregularidade a aquisição (emissão de empenho) de item de grupo adjudicado por preço global, de forma isolada, quando o preço unitário adjudicado ao vencedor do lote não for o menor lance válido ofertado na disputa relativo ao item, salvo quando, justificadamente, ficar demonstrado que é inexequível ou inviável, dentro do modelo de execução do contrato, a demanda proporcional ou total de todos os itens do respectivo grupo.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9. Consta no edital realizado para o registro de preços, o quantitativo reservado para as aquisições pelo órgão gerenciador, órgãos participantes e, também, pelos órgãos não participantes (art. 9º, II e III, do Decreto nº 7.892/13)?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10. Foram Juntadas, no processo, cópias da ata de registro de preço,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 (</w:t>
            </w:r>
            <w:proofErr w:type="spell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. 9º, III, e 22, §§ 3º e 4º, do Decreto nº 7.892/13)?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Houve consulta ao órgão gerenciador da ata de registro de preços instruído com estudo que demonstre o ganho, a eficiência, viabilidade e a economicidade para a administração pública federal da utilização da ata de registro de preços, conforme estabelecido em ato do Secretário de Gestão do Ministério da Economia (Art. 22, §1º-A, do Decreto 7.892/2013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Obs</w:t>
            </w:r>
            <w:proofErr w:type="spellEnd"/>
            <w:r w:rsidRPr="00F04A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Até o momento da elaboração desta Lista (em Agosto de 2019), não houve a edição do ato supramencionado, não sendo exigível ainda o estudo em questão.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12. Consta aceitação do fornecedor beneficiário da ata de registro de preços, com manifestação de que não haverá prejuízo ao cumprimento das obrigações presentes e futuras decorrentes da ata, assumidas com o órgão gerenciador e órgãos participantes? (art. 22, §2º, do Decreto nº 7.892/13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13. Há termo de referência (ou projeto básico) que respeita as mesmas condições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postas no termo de referência (ou projeto básico) da licitação e, ainda, devidamente aprovado pela autoridade competente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(art. 14, II do Decreto nº 10.024/19 ou art. 7º, § 2º, I da Lei nº 8.666/93)?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14. A aquisição ou contratação está sendo efetivada em até 90 (noventa) dias após a autorização do órgão gerenciador, observado o prazo de vigência da ata (art. 22, §6°, do Decreto nº 7.892/13)?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15. Existe autorização da autoridade competente para que a aquisição se dê por meio de adesão à Ata de Registro de Preços?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16. Existe demonstração da existência de dotação orçamentária para cobrir a despesa com a contratação pretendida (art. 60, Lei 4.320/64)?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17. O fornecedor registrado na ata de registro de preços mantém as mesmas condições de habilitação exigidas no edital da licitação (art. 55, XIII, da Lei nº 8.666/93)?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18. Foram consultados todos os sistemas de consulta abaixo e juntados aos autos os respectivos comprovantes?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(a) Consulta Consolidada de Pessoa Jurídica do TCU.</w:t>
            </w:r>
          </w:p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(b) Sistema de Cadastro Unificado de Fornecedores - SICAF</w:t>
            </w: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4A64" w:rsidRPr="00F04A64" w:rsidTr="00F04A64">
        <w:tc>
          <w:tcPr>
            <w:tcW w:w="7905" w:type="dxa"/>
            <w:vAlign w:val="center"/>
          </w:tcPr>
          <w:p w:rsidR="00F04A64" w:rsidRPr="00F04A64" w:rsidRDefault="00F04A64" w:rsidP="00F04A6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19. A minuta de termo de contrato, se houver, obedece </w:t>
            </w:r>
            <w:proofErr w:type="gramStart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F04A64">
              <w:rPr>
                <w:rFonts w:ascii="Times New Roman" w:hAnsi="Times New Roman" w:cs="Times New Roman"/>
                <w:sz w:val="24"/>
                <w:szCs w:val="24"/>
              </w:rPr>
              <w:t xml:space="preserve">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  <w:p w:rsidR="00F04A64" w:rsidRPr="00F04A64" w:rsidRDefault="00F04A64" w:rsidP="00F04A6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04A64" w:rsidRPr="00F04A64" w:rsidRDefault="00F04A64" w:rsidP="00F04A6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5818" w:rsidRPr="00F04A64" w:rsidRDefault="00773457">
      <w:pPr>
        <w:rPr>
          <w:rFonts w:ascii="Times New Roman" w:hAnsi="Times New Roman" w:cs="Times New Roman"/>
          <w:sz w:val="24"/>
          <w:szCs w:val="24"/>
        </w:rPr>
      </w:pPr>
    </w:p>
    <w:sectPr w:rsidR="00B35818" w:rsidRPr="00F04A64" w:rsidSect="00F04A64">
      <w:headerReference w:type="default" r:id="rId7"/>
      <w:pgSz w:w="11906" w:h="16838"/>
      <w:pgMar w:top="820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7" w:rsidRDefault="00773457" w:rsidP="00F04A64">
      <w:pPr>
        <w:spacing w:after="0" w:line="240" w:lineRule="auto"/>
      </w:pPr>
      <w:r>
        <w:separator/>
      </w:r>
    </w:p>
  </w:endnote>
  <w:endnote w:type="continuationSeparator" w:id="0">
    <w:p w:rsidR="00773457" w:rsidRDefault="00773457" w:rsidP="00F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7" w:rsidRDefault="00773457" w:rsidP="00F04A64">
      <w:pPr>
        <w:spacing w:after="0" w:line="240" w:lineRule="auto"/>
      </w:pPr>
      <w:r>
        <w:separator/>
      </w:r>
    </w:p>
  </w:footnote>
  <w:footnote w:type="continuationSeparator" w:id="0">
    <w:p w:rsidR="00773457" w:rsidRDefault="00773457" w:rsidP="00F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4" w:rsidRPr="00F04A64" w:rsidRDefault="00F04A64" w:rsidP="00F04A64">
    <w:pPr>
      <w:jc w:val="right"/>
      <w:rPr>
        <w:rFonts w:ascii="Courier New" w:hAnsi="Courier New" w:cs="Arial"/>
        <w:b/>
        <w:bCs/>
      </w:rPr>
    </w:pPr>
    <w:r>
      <w:rPr>
        <w:rFonts w:ascii="Courier New" w:hAnsi="Courier New" w:cs="Arial"/>
        <w:b/>
        <w:bCs/>
      </w:rPr>
      <w:t>Pró-Reitoria de Administração - PRAD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4"/>
    <w:rsid w:val="004106E4"/>
    <w:rsid w:val="0041430B"/>
    <w:rsid w:val="00773457"/>
    <w:rsid w:val="00F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rsid w:val="00F0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04A64"/>
  </w:style>
  <w:style w:type="paragraph" w:styleId="Rodap">
    <w:name w:val="footer"/>
    <w:basedOn w:val="Normal"/>
    <w:link w:val="RodapChar"/>
    <w:uiPriority w:val="99"/>
    <w:unhideWhenUsed/>
    <w:rsid w:val="00F0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A64"/>
  </w:style>
  <w:style w:type="character" w:styleId="Forte">
    <w:name w:val="Strong"/>
    <w:basedOn w:val="Fontepargpadro"/>
    <w:uiPriority w:val="22"/>
    <w:qFormat/>
    <w:rsid w:val="00F0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qFormat/>
    <w:rsid w:val="00F0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04A64"/>
  </w:style>
  <w:style w:type="paragraph" w:styleId="Rodap">
    <w:name w:val="footer"/>
    <w:basedOn w:val="Normal"/>
    <w:link w:val="RodapChar"/>
    <w:uiPriority w:val="99"/>
    <w:unhideWhenUsed/>
    <w:rsid w:val="00F04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A64"/>
  </w:style>
  <w:style w:type="character" w:styleId="Forte">
    <w:name w:val="Strong"/>
    <w:basedOn w:val="Fontepargpadro"/>
    <w:uiPriority w:val="22"/>
    <w:qFormat/>
    <w:rsid w:val="00F0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1110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alves</dc:creator>
  <cp:lastModifiedBy>dani alves</cp:lastModifiedBy>
  <cp:revision>1</cp:revision>
  <dcterms:created xsi:type="dcterms:W3CDTF">2021-04-19T14:35:00Z</dcterms:created>
  <dcterms:modified xsi:type="dcterms:W3CDTF">2021-04-19T14:46:00Z</dcterms:modified>
</cp:coreProperties>
</file>